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b/>
          <w:b/>
          <w:bCs/>
          <w:sz w:val="32"/>
          <w:szCs w:val="32"/>
        </w:rPr>
      </w:pPr>
      <w:r>
        <w:rPr>
          <w:b/>
          <w:bCs/>
          <w:sz w:val="32"/>
          <w:szCs w:val="32"/>
        </w:rPr>
        <w:t>Type 2 Diabetes Global Genomics Initiative</w:t>
      </w:r>
    </w:p>
    <w:p>
      <w:pPr>
        <w:pStyle w:val="NoSpacing"/>
        <w:rPr>
          <w:b/>
          <w:b/>
          <w:bCs/>
          <w:sz w:val="32"/>
          <w:szCs w:val="32"/>
        </w:rPr>
      </w:pPr>
      <w:r>
        <w:rPr>
          <w:b/>
          <w:bCs/>
          <w:sz w:val="32"/>
          <w:szCs w:val="32"/>
        </w:rPr>
        <w:t>Multi-ancestry GWAS meta-analysis of type 2 diabetes</w:t>
      </w:r>
    </w:p>
    <w:p>
      <w:pPr>
        <w:pStyle w:val="NoSpacing"/>
        <w:rPr>
          <w:sz w:val="32"/>
          <w:szCs w:val="32"/>
        </w:rPr>
      </w:pPr>
      <w:r>
        <w:rPr>
          <w:sz w:val="32"/>
          <w:szCs w:val="32"/>
        </w:rPr>
        <w:t>1 December 2023</w:t>
      </w:r>
    </w:p>
    <w:p>
      <w:pPr>
        <w:pStyle w:val="NoSpacing"/>
        <w:rPr>
          <w:sz w:val="24"/>
          <w:szCs w:val="24"/>
        </w:rPr>
      </w:pPr>
      <w:r>
        <w:rPr>
          <w:sz w:val="24"/>
          <w:szCs w:val="24"/>
        </w:rPr>
      </w:r>
    </w:p>
    <w:p>
      <w:pPr>
        <w:pStyle w:val="NoSpacing"/>
        <w:rPr>
          <w:sz w:val="24"/>
          <w:szCs w:val="24"/>
        </w:rPr>
      </w:pPr>
      <w:r>
        <w:rPr>
          <w:b/>
          <w:bCs/>
          <w:sz w:val="24"/>
          <w:szCs w:val="24"/>
        </w:rPr>
        <w:t>Reference.</w:t>
      </w:r>
      <w:r>
        <w:rPr>
          <w:sz w:val="24"/>
          <w:szCs w:val="24"/>
        </w:rPr>
        <w:t xml:space="preserve"> Ken Suzuki, Konstantinos Hatzikotoulas, Lorraine Southam, Henry J. Taylor, Xianyong Yin, Kim M. Lorenz, Ravi Mandla, </w:t>
      </w:r>
      <w:r>
        <w:rPr>
          <w:i/>
          <w:iCs/>
          <w:sz w:val="24"/>
          <w:szCs w:val="24"/>
        </w:rPr>
        <w:t>et al.</w:t>
      </w:r>
      <w:r>
        <w:rPr>
          <w:sz w:val="24"/>
          <w:szCs w:val="24"/>
        </w:rPr>
        <w:t xml:space="preserve"> (2023). Genetic drivers of heterogeneity in type 2 diabetes pathophysiology. </w:t>
      </w:r>
      <w:r>
        <w:rPr>
          <w:i/>
          <w:iCs/>
          <w:sz w:val="24"/>
          <w:szCs w:val="24"/>
        </w:rPr>
        <w:t>Nature</w:t>
      </w:r>
      <w:r>
        <w:rPr>
          <w:sz w:val="24"/>
          <w:szCs w:val="24"/>
        </w:rPr>
        <w:t xml:space="preserve"> (in revision).</w:t>
      </w:r>
    </w:p>
    <w:p>
      <w:pPr>
        <w:pStyle w:val="NoSpacing"/>
        <w:rPr>
          <w:sz w:val="24"/>
          <w:szCs w:val="24"/>
        </w:rPr>
      </w:pPr>
      <w:r>
        <w:rPr>
          <w:sz w:val="24"/>
          <w:szCs w:val="24"/>
        </w:rPr>
      </w:r>
    </w:p>
    <w:p>
      <w:pPr>
        <w:pStyle w:val="NoSpacing"/>
        <w:rPr>
          <w:b/>
          <w:b/>
          <w:bCs/>
          <w:sz w:val="24"/>
          <w:szCs w:val="24"/>
        </w:rPr>
      </w:pPr>
      <w:r>
        <w:rPr>
          <w:b/>
          <w:bCs/>
          <w:sz w:val="24"/>
          <w:szCs w:val="24"/>
        </w:rPr>
        <w:t>Study overview</w:t>
      </w:r>
    </w:p>
    <w:p>
      <w:pPr>
        <w:pStyle w:val="NoSpacing"/>
        <w:rPr>
          <w:sz w:val="24"/>
          <w:szCs w:val="24"/>
        </w:rPr>
      </w:pPr>
      <w:r>
        <w:rPr>
          <w:sz w:val="24"/>
          <w:szCs w:val="24"/>
        </w:rPr>
      </w:r>
    </w:p>
    <w:p>
      <w:pPr>
        <w:pStyle w:val="NoSpacing"/>
        <w:rPr>
          <w:rFonts w:cs="Calibri" w:cstheme="minorHAnsi"/>
          <w:sz w:val="24"/>
          <w:szCs w:val="24"/>
        </w:rPr>
      </w:pPr>
      <w:r>
        <w:rPr>
          <w:rFonts w:cs="Calibri" w:cstheme="minorHAnsi"/>
          <w:sz w:val="24"/>
          <w:szCs w:val="24"/>
        </w:rPr>
        <w:t>We assembled GWAS including 428,452 T2D cases and 2,107,149 controls. We organised these GWAS into six “ancestry groups”: a European ancestry group (EUR, 60.3% of the effective sample size); an East Asian ancestry group (EAS, 19.8%); an admixed African American group with ancestry predominantly from West Africa and Europe (AFA, 10.5%); an admixed Hispanic group with ancestry predominantly from the Americas, West Africa, and Europe (HIS, 5.9%); a South Asian ancestry group (SAS, 3.3%); and a South African ancestry group (SAF, 0.2%). Association analyses accounted for study-level population structure and relatedness, and adjusted for age and sex, where appropriate, and additional study-specific covariates. We corrected study-level association summary statistics for residual structure by the LD-score regression intercept.</w:t>
      </w:r>
    </w:p>
    <w:p>
      <w:pPr>
        <w:pStyle w:val="NoSpacing"/>
        <w:rPr>
          <w:rFonts w:cs="Calibri" w:cstheme="minorHAnsi"/>
          <w:sz w:val="24"/>
          <w:szCs w:val="24"/>
        </w:rPr>
      </w:pPr>
      <w:r>
        <w:rPr>
          <w:rFonts w:cs="Calibri" w:cstheme="minorHAnsi"/>
          <w:sz w:val="24"/>
          <w:szCs w:val="24"/>
        </w:rPr>
      </w:r>
    </w:p>
    <w:p>
      <w:pPr>
        <w:pStyle w:val="NoSpacing"/>
        <w:rPr>
          <w:rFonts w:cs="Calibri" w:cstheme="minorHAnsi"/>
          <w:sz w:val="24"/>
          <w:szCs w:val="24"/>
        </w:rPr>
      </w:pPr>
      <w:r>
        <w:rPr>
          <w:rFonts w:cs="Calibri" w:cstheme="minorHAnsi"/>
          <w:sz w:val="24"/>
          <w:szCs w:val="24"/>
        </w:rPr>
        <w:t xml:space="preserve">We aggregated association summary statistics across GWAS via multi-ancestry meta-regression, implemented in MR-MEGA, which </w:t>
      </w:r>
      <w:bookmarkStart w:id="0" w:name="_Hlk122428142"/>
      <w:r>
        <w:rPr>
          <w:rFonts w:cs="Calibri" w:cstheme="minorHAnsi"/>
          <w:sz w:val="24"/>
          <w:szCs w:val="24"/>
        </w:rPr>
        <w:t>allows for allelic effect heterogeneity that is correlated with ancestry</w:t>
      </w:r>
      <w:bookmarkEnd w:id="0"/>
      <w:r>
        <w:rPr>
          <w:rFonts w:cs="Calibri" w:cstheme="minorHAnsi"/>
          <w:sz w:val="24"/>
          <w:szCs w:val="24"/>
        </w:rPr>
        <w:t>. We included three axes of genetic variation as covariates in the meta-regression model that separated GWAS from different ancestry groups.</w:t>
      </w:r>
      <w:r>
        <w:rPr>
          <w:sz w:val="24"/>
          <w:szCs w:val="24"/>
        </w:rPr>
        <w:t xml:space="preserve"> </w:t>
      </w:r>
      <w:r>
        <w:rPr>
          <w:rFonts w:cs="Calibri" w:cstheme="minorHAnsi"/>
          <w:sz w:val="24"/>
          <w:szCs w:val="24"/>
        </w:rPr>
        <w:t>We also aggregated association summary statistics across GWAS via fixed-effects meta-analysis (inverse-variance weighting of allelic effects) using METAL. We considered only those SNVs reported in at least five GWAS for downstream interrogation. Within each ancestry group, we also aggregated association summary statistics across GWAS via fixed-effects meta-analysis (inverse-variance weighting of allelic effects) using METAL.</w:t>
      </w:r>
    </w:p>
    <w:p>
      <w:pPr>
        <w:pStyle w:val="NoSpacing"/>
        <w:rPr>
          <w:rFonts w:cs="Calibri" w:cstheme="minorHAnsi"/>
          <w:sz w:val="24"/>
          <w:szCs w:val="24"/>
        </w:rPr>
      </w:pPr>
      <w:r>
        <w:rPr>
          <w:rFonts w:cs="Calibri" w:cstheme="minorHAnsi"/>
          <w:sz w:val="24"/>
          <w:szCs w:val="24"/>
        </w:rPr>
      </w:r>
    </w:p>
    <w:p>
      <w:pPr>
        <w:pStyle w:val="NoSpacing"/>
        <w:rPr>
          <w:rFonts w:cs="Calibri" w:cstheme="minorHAnsi"/>
          <w:b/>
          <w:b/>
          <w:bCs/>
          <w:sz w:val="24"/>
          <w:szCs w:val="24"/>
        </w:rPr>
      </w:pPr>
      <w:r>
        <w:rPr>
          <w:rFonts w:cs="Calibri" w:cstheme="minorHAnsi"/>
          <w:b/>
          <w:bCs/>
          <w:sz w:val="24"/>
          <w:szCs w:val="24"/>
        </w:rPr>
        <w:t>Datasets available for download</w:t>
      </w:r>
    </w:p>
    <w:p>
      <w:pPr>
        <w:pStyle w:val="NoSpacing"/>
        <w:rPr>
          <w:rFonts w:cs="Calibri" w:cstheme="minorHAnsi"/>
          <w:sz w:val="24"/>
          <w:szCs w:val="24"/>
        </w:rPr>
      </w:pPr>
      <w:r>
        <w:rPr>
          <w:rFonts w:cs="Calibri" w:cstheme="minorHAnsi"/>
          <w:sz w:val="24"/>
          <w:szCs w:val="24"/>
        </w:rPr>
      </w:r>
    </w:p>
    <w:p>
      <w:pPr>
        <w:pStyle w:val="NoSpacing"/>
        <w:rPr>
          <w:sz w:val="24"/>
          <w:szCs w:val="24"/>
        </w:rPr>
      </w:pPr>
      <w:r>
        <w:rPr>
          <w:i/>
          <w:iCs/>
          <w:sz w:val="24"/>
          <w:szCs w:val="24"/>
        </w:rPr>
        <w:t>Multi-ancestry GWAS summary statistics</w:t>
      </w:r>
      <w:r>
        <w:rPr>
          <w:sz w:val="24"/>
          <w:szCs w:val="24"/>
        </w:rPr>
        <w:t>: Suz</w:t>
      </w:r>
      <w:r>
        <w:rPr>
          <w:sz w:val="24"/>
          <w:szCs w:val="24"/>
        </w:rPr>
        <w:t>u</w:t>
      </w:r>
      <w:r>
        <w:rPr>
          <w:sz w:val="24"/>
          <w:szCs w:val="24"/>
        </w:rPr>
        <w:t>ki.Nature2024.T2DGGI.</w:t>
      </w:r>
      <w:r>
        <w:rPr>
          <w:rFonts w:eastAsia="Calibri" w:cs="" w:cstheme="minorBidi" w:eastAsiaTheme="minorHAnsi"/>
          <w:color w:val="auto"/>
          <w:kern w:val="2"/>
          <w:sz w:val="24"/>
          <w:szCs w:val="24"/>
          <w:lang w:val="en-GB" w:eastAsia="en-US" w:bidi="ar-SA"/>
          <w14:ligatures w14:val="standardContextual"/>
        </w:rPr>
        <w:t>MultiAncestry</w:t>
      </w:r>
      <w:r>
        <w:rPr>
          <w:sz w:val="24"/>
          <w:szCs w:val="24"/>
        </w:rPr>
        <w:t xml:space="preserve">.sumstats.zip. A tab delimited file with one row per SNV including the following columns: chromosome and position (hg19, build 37); effect allele and other allele; MR-MEGA association </w:t>
      </w:r>
      <w:r>
        <w:rPr>
          <w:i/>
          <w:iCs/>
          <w:sz w:val="24"/>
          <w:szCs w:val="24"/>
        </w:rPr>
        <w:t>P</w:t>
      </w:r>
      <w:r>
        <w:rPr>
          <w:sz w:val="24"/>
          <w:szCs w:val="24"/>
        </w:rPr>
        <w:t xml:space="preserve">-value; MR-MEGA ancestry-correlated heterogeneity </w:t>
      </w:r>
      <w:r>
        <w:rPr>
          <w:i/>
          <w:iCs/>
          <w:sz w:val="24"/>
          <w:szCs w:val="24"/>
        </w:rPr>
        <w:t>P</w:t>
      </w:r>
      <w:r>
        <w:rPr>
          <w:sz w:val="24"/>
          <w:szCs w:val="24"/>
        </w:rPr>
        <w:t xml:space="preserve">-value; MR-MEGA residual heterogeneity </w:t>
      </w:r>
      <w:r>
        <w:rPr>
          <w:i/>
          <w:iCs/>
          <w:sz w:val="24"/>
          <w:szCs w:val="24"/>
        </w:rPr>
        <w:t>P</w:t>
      </w:r>
      <w:r>
        <w:rPr>
          <w:sz w:val="24"/>
          <w:szCs w:val="24"/>
        </w:rPr>
        <w:t xml:space="preserve">-value; fixed-effects meta-analysis beta (log-odds ratio); fixed-effects meta-analysis standard error; effect allele frequency; fixed-effects meta-analysis association </w:t>
      </w:r>
      <w:r>
        <w:rPr>
          <w:i/>
          <w:iCs/>
          <w:sz w:val="24"/>
          <w:szCs w:val="24"/>
        </w:rPr>
        <w:t>P</w:t>
      </w:r>
      <w:r>
        <w:rPr>
          <w:sz w:val="24"/>
          <w:szCs w:val="24"/>
        </w:rPr>
        <w:t>-value; number of cases and controls; and effective sample size.</w:t>
      </w:r>
    </w:p>
    <w:p>
      <w:pPr>
        <w:pStyle w:val="NoSpacing"/>
        <w:rPr>
          <w:sz w:val="24"/>
          <w:szCs w:val="24"/>
        </w:rPr>
      </w:pPr>
      <w:r>
        <w:rPr>
          <w:sz w:val="24"/>
          <w:szCs w:val="24"/>
        </w:rPr>
      </w:r>
    </w:p>
    <w:p>
      <w:pPr>
        <w:pStyle w:val="NoSpacing"/>
        <w:rPr>
          <w:sz w:val="24"/>
          <w:szCs w:val="24"/>
        </w:rPr>
      </w:pPr>
      <w:r>
        <w:rPr>
          <w:i/>
          <w:iCs/>
          <w:sz w:val="24"/>
          <w:szCs w:val="24"/>
        </w:rPr>
        <w:t>Ancestry-specific GWAS summary statistics</w:t>
      </w:r>
      <w:r>
        <w:rPr>
          <w:sz w:val="24"/>
          <w:szCs w:val="24"/>
        </w:rPr>
        <w:t>: Suz</w:t>
      </w:r>
      <w:r>
        <w:rPr>
          <w:sz w:val="24"/>
          <w:szCs w:val="24"/>
        </w:rPr>
        <w:t>u</w:t>
      </w:r>
      <w:r>
        <w:rPr>
          <w:sz w:val="24"/>
          <w:szCs w:val="24"/>
        </w:rPr>
        <w:t>ki.Nature2024.T2DGGI.AFA.sumstats.zip, Suz</w:t>
      </w:r>
      <w:r>
        <w:rPr>
          <w:sz w:val="24"/>
          <w:szCs w:val="24"/>
        </w:rPr>
        <w:t>u</w:t>
      </w:r>
      <w:r>
        <w:rPr>
          <w:sz w:val="24"/>
          <w:szCs w:val="24"/>
        </w:rPr>
        <w:t>ki.Nature2024.T2DGGI.EAS.sumstats.zip, Suz</w:t>
      </w:r>
      <w:r>
        <w:rPr>
          <w:sz w:val="24"/>
          <w:szCs w:val="24"/>
        </w:rPr>
        <w:t>u</w:t>
      </w:r>
      <w:r>
        <w:rPr>
          <w:sz w:val="24"/>
          <w:szCs w:val="24"/>
        </w:rPr>
        <w:t>ki.Nature2024.T2DGGI.EUR.sumstats.zip, Suz</w:t>
      </w:r>
      <w:r>
        <w:rPr>
          <w:sz w:val="24"/>
          <w:szCs w:val="24"/>
        </w:rPr>
        <w:t>u</w:t>
      </w:r>
      <w:r>
        <w:rPr>
          <w:sz w:val="24"/>
          <w:szCs w:val="24"/>
        </w:rPr>
        <w:t>ki.Nature2024.T2DGGI.HIS.sumstats.zip, Suz</w:t>
      </w:r>
      <w:r>
        <w:rPr>
          <w:sz w:val="24"/>
          <w:szCs w:val="24"/>
        </w:rPr>
        <w:t>u</w:t>
      </w:r>
      <w:r>
        <w:rPr>
          <w:sz w:val="24"/>
          <w:szCs w:val="24"/>
        </w:rPr>
        <w:t xml:space="preserve">ki.Nature2024.T2DGGI.SAS.sumstats.zip. Tab delimited files (one per ancestry group) with one row per SNV including the following columns: chromosome and position (hg19, build 37); effect allele and other allele; fixed-effects meta-analysis beta (log-odds ratio); fixed-effects meta-analysis standard error; effect allele frequency; fixed-effects meta-analysis association </w:t>
      </w:r>
      <w:r>
        <w:rPr>
          <w:i/>
          <w:iCs/>
          <w:sz w:val="24"/>
          <w:szCs w:val="24"/>
        </w:rPr>
        <w:t>P</w:t>
      </w:r>
      <w:r>
        <w:rPr>
          <w:sz w:val="24"/>
          <w:szCs w:val="24"/>
        </w:rPr>
        <w:t>-value; number of cases and controls; and effective sample size.</w:t>
      </w:r>
    </w:p>
    <w:p>
      <w:pPr>
        <w:pStyle w:val="NoSpacing"/>
        <w:rPr>
          <w:sz w:val="24"/>
          <w:szCs w:val="24"/>
        </w:rPr>
      </w:pPr>
      <w:r>
        <w:rPr>
          <w:sz w:val="24"/>
          <w:szCs w:val="24"/>
        </w:rPr>
        <w:t xml:space="preserve">The sample size and precision of the statistics presented should preclude de-identification of any individual subject included in the meta-analysis. However, in downloading these data, you undertake: (i) not to attempt to de-identify individual subjects; and (ii) not to repost these data to a third-party website. </w:t>
      </w:r>
    </w:p>
    <w:p>
      <w:pPr>
        <w:pStyle w:val="NoSpacing"/>
        <w:rPr>
          <w:sz w:val="24"/>
          <w:szCs w:val="24"/>
        </w:rPr>
      </w:pPr>
      <w:r>
        <w:rPr>
          <w:sz w:val="24"/>
          <w:szCs w:val="24"/>
        </w:rPr>
      </w:r>
    </w:p>
    <w:p>
      <w:pPr>
        <w:pStyle w:val="NoSpacing"/>
        <w:rPr>
          <w:sz w:val="24"/>
          <w:szCs w:val="24"/>
        </w:rPr>
      </w:pPr>
      <w:r>
        <w:rPr>
          <w:sz w:val="24"/>
          <w:szCs w:val="24"/>
        </w:rPr>
        <w:t>Please refer any enquiries to Andrew Morris: andrew.morris-5@manchester.ac.uk.</w:t>
      </w:r>
    </w:p>
    <w:p>
      <w:pPr>
        <w:pStyle w:val="NoSpacing"/>
        <w:rPr>
          <w:sz w:val="24"/>
          <w:szCs w:val="24"/>
        </w:rPr>
      </w:pPr>
      <w:r>
        <w:rPr>
          <w:sz w:val="24"/>
          <w:szCs w:val="24"/>
        </w:rPr>
        <w:br/>
      </w:r>
    </w:p>
    <w:p>
      <w:pPr>
        <w:pStyle w:val="NoSpacing"/>
        <w:rPr>
          <w:sz w:val="24"/>
          <w:szCs w:val="24"/>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9c2022"/>
    <w:rPr>
      <w:rFonts w:ascii="Calibri Light" w:hAnsi="Calibri Light" w:eastAsia="" w:cs="" w:asciiTheme="majorHAnsi" w:cstheme="majorBidi" w:eastAsiaTheme="majorEastAsia" w:hAnsiTheme="majorHAnsi"/>
      <w:spacing w:val="-10"/>
      <w:kern w:val="2"/>
      <w:sz w:val="56"/>
      <w:szCs w:val="56"/>
      <w14:ligatures w14:val="none"/>
    </w:rPr>
  </w:style>
  <w:style w:type="character" w:styleId="NoSpacingChar" w:customStyle="1">
    <w:name w:val="No Spacing Char"/>
    <w:basedOn w:val="DefaultParagraphFont"/>
    <w:link w:val="NoSpacing"/>
    <w:uiPriority w:val="1"/>
    <w:qFormat/>
    <w:rsid w:val="009c20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name w:val="Index"/>
    <w:basedOn w:val="Normal"/>
    <w:qFormat/>
    <w:pPr>
      <w:suppressLineNumbers/>
    </w:pPr>
    <w:rPr>
      <w:rFonts w:ascii="Calibri" w:hAnsi="Calibri" w:cs="Lohit Devanagari"/>
    </w:rPr>
  </w:style>
  <w:style w:type="paragraph" w:styleId="NoSpacing">
    <w:name w:val="No Spacing"/>
    <w:link w:val="NoSpacingChar"/>
    <w:uiPriority w:val="1"/>
    <w:qFormat/>
    <w:rsid w:val="009c202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Title">
    <w:name w:val="Title"/>
    <w:basedOn w:val="Normal"/>
    <w:next w:val="Normal"/>
    <w:link w:val="TitleChar"/>
    <w:uiPriority w:val="10"/>
    <w:qFormat/>
    <w:rsid w:val="009c2022"/>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Application>LibreOffice/6.4.7.2$Linux_X86_64 LibreOffice_project/40$Build-2</Application>
  <Pages>2</Pages>
  <Words>449</Words>
  <Characters>3179</Characters>
  <CharactersWithSpaces>3618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2023-12-01T10:14:00Z</dcterms:created>
  <dc:creator>Andrew Morris</dc:creator>
  <dc:description/>
  <dc:language>en-GB</dc:language>
  <cp:lastModifiedBy/>
  <dcterms:modified xsi:type="dcterms:W3CDTF">2023-12-06T14:30:39Z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